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69309A88"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#10</w:t>
      </w:r>
      <w:r w:rsidR="00CA520A">
        <w:rPr>
          <w:rFonts w:cs="Arial"/>
          <w:bCs/>
          <w:noProof w:val="0"/>
          <w:sz w:val="24"/>
          <w:szCs w:val="24"/>
        </w:rPr>
        <w:t>5</w:t>
      </w:r>
      <w:r w:rsidR="002C1220" w:rsidRPr="00484DBF">
        <w:rPr>
          <w:rFonts w:cs="Arial"/>
          <w:bCs/>
          <w:noProof w:val="0"/>
          <w:sz w:val="24"/>
          <w:szCs w:val="24"/>
        </w:rPr>
        <w:tab/>
      </w:r>
      <w:r w:rsidR="002C1220" w:rsidRPr="00F8519C">
        <w:rPr>
          <w:rFonts w:cs="Arial"/>
          <w:bCs/>
          <w:noProof w:val="0"/>
          <w:sz w:val="24"/>
          <w:szCs w:val="24"/>
        </w:rPr>
        <w:t>R3-</w:t>
      </w:r>
      <w:r>
        <w:rPr>
          <w:rFonts w:cs="Arial"/>
          <w:bCs/>
          <w:noProof w:val="0"/>
          <w:sz w:val="24"/>
          <w:szCs w:val="24"/>
        </w:rPr>
        <w:t>18</w:t>
      </w:r>
      <w:r w:rsidR="00CC4DEA">
        <w:rPr>
          <w:rFonts w:cs="Arial"/>
          <w:bCs/>
          <w:noProof w:val="0"/>
          <w:sz w:val="24"/>
          <w:szCs w:val="24"/>
        </w:rPr>
        <w:t>3500</w:t>
      </w:r>
    </w:p>
    <w:bookmarkEnd w:id="0"/>
    <w:p w14:paraId="5669B020" w14:textId="64F9FA14" w:rsidR="004C654E" w:rsidRPr="00484DBF" w:rsidRDefault="00CA520A" w:rsidP="004C654E">
      <w:pPr>
        <w:pStyle w:val="Header"/>
        <w:tabs>
          <w:tab w:val="left" w:pos="2410"/>
        </w:tabs>
        <w:rPr>
          <w:rFonts w:eastAsia="MS Mincho" w:cs="Arial"/>
          <w:sz w:val="24"/>
          <w:szCs w:val="24"/>
          <w:lang w:val="en-US"/>
        </w:rPr>
      </w:pPr>
      <w:r>
        <w:rPr>
          <w:rFonts w:eastAsia="MS Mincho" w:cs="Arial"/>
          <w:sz w:val="24"/>
          <w:szCs w:val="24"/>
          <w:lang w:val="en-US"/>
        </w:rPr>
        <w:t>Ljubljana, Slovenia, EU</w:t>
      </w:r>
      <w:r w:rsidR="00FC5FE8">
        <w:rPr>
          <w:rFonts w:eastAsia="MS Mincho" w:cs="Arial"/>
          <w:sz w:val="24"/>
          <w:szCs w:val="24"/>
          <w:lang w:val="en-US"/>
        </w:rPr>
        <w:t xml:space="preserve">, </w:t>
      </w:r>
      <w:r>
        <w:rPr>
          <w:rFonts w:eastAsia="MS Mincho" w:cs="Arial"/>
          <w:sz w:val="24"/>
          <w:szCs w:val="24"/>
          <w:lang w:val="en-US"/>
        </w:rPr>
        <w:t>26</w:t>
      </w:r>
      <w:r w:rsidR="00FC5FE8">
        <w:rPr>
          <w:rFonts w:eastAsia="MS Mincho" w:cs="Arial"/>
          <w:sz w:val="24"/>
          <w:szCs w:val="24"/>
          <w:lang w:val="en-US"/>
        </w:rPr>
        <w:t>-</w:t>
      </w:r>
      <w:r>
        <w:rPr>
          <w:rFonts w:eastAsia="MS Mincho" w:cs="Arial"/>
          <w:sz w:val="24"/>
          <w:szCs w:val="24"/>
          <w:lang w:val="en-US"/>
        </w:rPr>
        <w:t>30</w:t>
      </w:r>
      <w:r w:rsidR="00FC5FE8">
        <w:rPr>
          <w:rFonts w:eastAsia="MS Mincho" w:cs="Arial"/>
          <w:sz w:val="24"/>
          <w:szCs w:val="24"/>
          <w:lang w:val="en-US"/>
        </w:rPr>
        <w:t xml:space="preserve"> </w:t>
      </w:r>
      <w:r>
        <w:rPr>
          <w:rFonts w:eastAsia="MS Mincho" w:cs="Arial"/>
          <w:sz w:val="24"/>
          <w:szCs w:val="24"/>
          <w:lang w:val="en-US"/>
        </w:rPr>
        <w:t>Aug</w:t>
      </w:r>
      <w:r w:rsidR="005F10C3">
        <w:rPr>
          <w:rFonts w:eastAsia="MS Mincho" w:cs="Arial"/>
          <w:sz w:val="24"/>
          <w:szCs w:val="24"/>
          <w:lang w:val="en-US"/>
        </w:rPr>
        <w:t xml:space="preserve"> 2019</w:t>
      </w:r>
    </w:p>
    <w:p w14:paraId="2F96B0BD" w14:textId="77777777" w:rsidR="002F2360" w:rsidRPr="00813CDA" w:rsidRDefault="002F2360" w:rsidP="002F2360">
      <w:pPr>
        <w:pStyle w:val="Header"/>
        <w:tabs>
          <w:tab w:val="left" w:pos="2410"/>
        </w:tabs>
        <w:rPr>
          <w:bCs/>
          <w:noProof w:val="0"/>
          <w:sz w:val="24"/>
          <w:lang w:val="en-US"/>
        </w:rPr>
      </w:pPr>
    </w:p>
    <w:p w14:paraId="430718D4" w14:textId="0D7BAC9B"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CC4DEA">
        <w:rPr>
          <w:rFonts w:cs="Arial"/>
          <w:b/>
          <w:bCs/>
          <w:sz w:val="24"/>
        </w:rPr>
        <w:t>15.3.1</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50E1F2B3"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DF3B88" w:rsidRPr="00DF3B88">
        <w:rPr>
          <w:rFonts w:ascii="Arial" w:hAnsi="Arial" w:cs="Arial"/>
          <w:b/>
          <w:bCs/>
          <w:sz w:val="24"/>
        </w:rPr>
        <w:t>Handling of changing conditions during CHO</w:t>
      </w:r>
      <w:bookmarkStart w:id="1" w:name="_GoBack"/>
      <w:bookmarkEnd w:id="1"/>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12FE0758" w14:textId="20D04D1C" w:rsidR="002864B2" w:rsidRDefault="00D83F39" w:rsidP="0037722C">
      <w:pPr>
        <w:rPr>
          <w:lang w:val="en-US"/>
        </w:rPr>
      </w:pPr>
      <w:bookmarkStart w:id="2" w:name="_Toc474247438"/>
      <w:r>
        <w:rPr>
          <w:lang w:val="en-US"/>
        </w:rPr>
        <w:t>RAN3 started the work on Mobility Enhancements at RAN3 #104-bis</w:t>
      </w:r>
      <w:r w:rsidR="000F551E">
        <w:rPr>
          <w:lang w:val="en-US"/>
        </w:rPr>
        <w:t>. The prioritized part of the work, based on the request from RAN2, is the Conditional Handover (CHO). At that meeting, RAN3 made following agreements:</w:t>
      </w:r>
    </w:p>
    <w:p w14:paraId="12C8A669" w14:textId="77777777" w:rsidR="008572DC" w:rsidRPr="008572DC" w:rsidRDefault="008572DC" w:rsidP="008572DC">
      <w:pPr>
        <w:pStyle w:val="ListParagraph"/>
        <w:numPr>
          <w:ilvl w:val="0"/>
          <w:numId w:val="28"/>
        </w:numPr>
        <w:rPr>
          <w:rFonts w:eastAsia="Yu Mincho"/>
          <w:sz w:val="20"/>
          <w:szCs w:val="20"/>
        </w:rPr>
      </w:pPr>
      <w:r w:rsidRPr="008572DC">
        <w:rPr>
          <w:rFonts w:eastAsia="Yu Mincho"/>
          <w:sz w:val="20"/>
          <w:szCs w:val="20"/>
        </w:rPr>
        <w:t>Reuse existing HO Preparation procedure (with enhancement) for CHO preparation</w:t>
      </w:r>
    </w:p>
    <w:p w14:paraId="36A4C3B1" w14:textId="77777777" w:rsidR="008572DC" w:rsidRPr="008572DC" w:rsidRDefault="008572DC" w:rsidP="008572DC">
      <w:pPr>
        <w:pStyle w:val="ListParagraph"/>
        <w:numPr>
          <w:ilvl w:val="0"/>
          <w:numId w:val="28"/>
        </w:numPr>
        <w:rPr>
          <w:rFonts w:eastAsia="Yu Mincho"/>
          <w:sz w:val="20"/>
          <w:szCs w:val="20"/>
        </w:rPr>
      </w:pPr>
      <w:r w:rsidRPr="008572DC">
        <w:rPr>
          <w:rFonts w:eastAsia="Yu Mincho"/>
          <w:sz w:val="20"/>
          <w:szCs w:val="20"/>
        </w:rPr>
        <w:t>Reuse existing HO Cancel procedure for canceling CHO from source</w:t>
      </w:r>
    </w:p>
    <w:p w14:paraId="69F423F5" w14:textId="77777777" w:rsidR="008572DC" w:rsidRPr="008572DC" w:rsidRDefault="008572DC" w:rsidP="008572DC">
      <w:pPr>
        <w:pStyle w:val="ListParagraph"/>
        <w:numPr>
          <w:ilvl w:val="0"/>
          <w:numId w:val="28"/>
        </w:numPr>
        <w:rPr>
          <w:rFonts w:eastAsia="Yu Mincho"/>
          <w:sz w:val="20"/>
          <w:szCs w:val="20"/>
        </w:rPr>
      </w:pPr>
      <w:r w:rsidRPr="008572DC">
        <w:rPr>
          <w:rFonts w:eastAsia="Yu Mincho"/>
          <w:sz w:val="20"/>
          <w:szCs w:val="20"/>
        </w:rPr>
        <w:t>The target shall be able to signal UE access to the source</w:t>
      </w:r>
    </w:p>
    <w:p w14:paraId="722AF8F2" w14:textId="549FEE58" w:rsidR="000F551E" w:rsidRPr="00A455AE" w:rsidRDefault="008572DC" w:rsidP="008367D8">
      <w:pPr>
        <w:pStyle w:val="ListParagraph"/>
        <w:numPr>
          <w:ilvl w:val="0"/>
          <w:numId w:val="28"/>
        </w:numPr>
        <w:spacing w:after="180"/>
        <w:ind w:left="714" w:hanging="357"/>
        <w:rPr>
          <w:rFonts w:eastAsia="Yu Mincho"/>
          <w:sz w:val="20"/>
          <w:szCs w:val="20"/>
        </w:rPr>
      </w:pPr>
      <w:r w:rsidRPr="00A455AE">
        <w:rPr>
          <w:rFonts w:eastAsia="Yu Mincho"/>
          <w:sz w:val="20"/>
          <w:szCs w:val="20"/>
        </w:rPr>
        <w:t>The decision concerning data forwarding (late vs early) is up to the source node</w:t>
      </w:r>
    </w:p>
    <w:p w14:paraId="261D01E8" w14:textId="0391328D" w:rsidR="008572DC" w:rsidRDefault="008572DC" w:rsidP="008572DC">
      <w:pPr>
        <w:rPr>
          <w:lang w:val="en-US"/>
        </w:rPr>
      </w:pPr>
      <w:r>
        <w:rPr>
          <w:lang w:val="en-US"/>
        </w:rPr>
        <w:t>It is still left for further discussion:</w:t>
      </w:r>
    </w:p>
    <w:p w14:paraId="024E75B7" w14:textId="77777777" w:rsidR="008572DC" w:rsidRPr="008572DC" w:rsidRDefault="008572DC" w:rsidP="008572DC">
      <w:pPr>
        <w:pStyle w:val="ListParagraph"/>
        <w:numPr>
          <w:ilvl w:val="0"/>
          <w:numId w:val="28"/>
        </w:numPr>
        <w:spacing w:after="180"/>
        <w:ind w:left="714" w:hanging="357"/>
        <w:rPr>
          <w:rFonts w:eastAsia="Yu Mincho"/>
          <w:sz w:val="20"/>
          <w:szCs w:val="20"/>
        </w:rPr>
      </w:pPr>
      <w:r w:rsidRPr="008572DC">
        <w:rPr>
          <w:rFonts w:eastAsia="Yu Mincho"/>
          <w:sz w:val="20"/>
          <w:szCs w:val="20"/>
        </w:rPr>
        <w:t>Should separate CHO preparations be allowed for different cells of the same target?</w:t>
      </w:r>
    </w:p>
    <w:p w14:paraId="17069C2A" w14:textId="77777777" w:rsidR="008572DC" w:rsidRPr="008572DC" w:rsidRDefault="008572DC" w:rsidP="008572DC">
      <w:pPr>
        <w:pStyle w:val="ListParagraph"/>
        <w:numPr>
          <w:ilvl w:val="0"/>
          <w:numId w:val="28"/>
        </w:numPr>
        <w:spacing w:after="180"/>
        <w:ind w:left="714" w:hanging="357"/>
        <w:rPr>
          <w:rFonts w:eastAsia="Yu Mincho"/>
          <w:sz w:val="20"/>
          <w:szCs w:val="20"/>
        </w:rPr>
      </w:pPr>
      <w:r w:rsidRPr="008572DC">
        <w:rPr>
          <w:rFonts w:eastAsia="Yu Mincho"/>
          <w:sz w:val="20"/>
          <w:szCs w:val="20"/>
        </w:rPr>
        <w:t>How the source-initated RRC reconfiguration should be handled?</w:t>
      </w:r>
    </w:p>
    <w:p w14:paraId="2E431AE9" w14:textId="573B0C91" w:rsidR="000F551E" w:rsidRPr="008572DC" w:rsidRDefault="008572DC" w:rsidP="008572DC">
      <w:pPr>
        <w:pStyle w:val="ListParagraph"/>
        <w:numPr>
          <w:ilvl w:val="0"/>
          <w:numId w:val="28"/>
        </w:numPr>
        <w:spacing w:after="180"/>
        <w:ind w:left="714" w:hanging="357"/>
        <w:rPr>
          <w:rFonts w:eastAsia="Yu Mincho"/>
          <w:sz w:val="20"/>
          <w:szCs w:val="20"/>
        </w:rPr>
      </w:pPr>
      <w:r w:rsidRPr="008572DC">
        <w:rPr>
          <w:rFonts w:eastAsia="Yu Mincho"/>
          <w:sz w:val="20"/>
          <w:szCs w:val="20"/>
        </w:rPr>
        <w:t>How to enable the target to cancel the accepted CHO?</w:t>
      </w:r>
    </w:p>
    <w:p w14:paraId="0F5DFDB5" w14:textId="529D3A59" w:rsidR="008572DC" w:rsidRDefault="008572DC" w:rsidP="008572DC">
      <w:pPr>
        <w:rPr>
          <w:lang w:val="en-US"/>
        </w:rPr>
      </w:pPr>
      <w:r>
        <w:rPr>
          <w:lang w:val="en-US"/>
        </w:rPr>
        <w:t>In this paper, we address those 3 open points.</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2"/>
    <w:p w14:paraId="4BC67B39" w14:textId="43F66E5E" w:rsidR="00FC69E4" w:rsidRDefault="00666A58" w:rsidP="00B94EC5">
      <w:pPr>
        <w:pStyle w:val="Heading2"/>
      </w:pPr>
      <w:r>
        <w:t>2.1</w:t>
      </w:r>
      <w:r w:rsidR="00B94EC5">
        <w:tab/>
        <w:t>Separate CHO preparations towards different cells of the same target node</w:t>
      </w:r>
    </w:p>
    <w:p w14:paraId="5FF4D3DA" w14:textId="52A8A825" w:rsidR="00B94EC5" w:rsidRDefault="0069274F" w:rsidP="00AA0F95">
      <w:r>
        <w:t xml:space="preserve">In the classic HO, the source node provides the target node with the UE information, including the measurement results, and the target cell. The target node uses the information to derive the needed security information that will enable the UE to access the target cell. In practice, the target node may calculate the security for a different cell that it serves than the target proposed by the source in the HO Request (e.g. in order to balance load better, if the measurement results indicate the UE is in the coverage of another cell, too). </w:t>
      </w:r>
      <w:r w:rsidR="000705C2">
        <w:t>S</w:t>
      </w:r>
      <w:r>
        <w:t xml:space="preserve">ince the classic HO “happens now”, </w:t>
      </w:r>
      <w:r w:rsidR="000705C2">
        <w:t xml:space="preserve">it is normally </w:t>
      </w:r>
      <w:r>
        <w:t>there is only one candidate</w:t>
      </w:r>
      <w:r w:rsidR="002B7066">
        <w:t xml:space="preserve"> proposed, and there is only one cell that the target node directs the UE to. </w:t>
      </w:r>
    </w:p>
    <w:p w14:paraId="2B477992" w14:textId="67BA32D6" w:rsidR="000705C2" w:rsidRDefault="000705C2" w:rsidP="00AA0F95">
      <w:r>
        <w:t>However, there is the concept of the multiple preparation: the source cell may send multiple HO requests to different or the same target nodes. If the requests are sent to different target nodes, they can’t identify the situation and may prepare HO commands. If more than one request for the same UE is sent to the same target node, it is up to the implementation of the node to handle it. It may reject the 2</w:t>
      </w:r>
      <w:r w:rsidRPr="000705C2">
        <w:rPr>
          <w:vertAlign w:val="superscript"/>
        </w:rPr>
        <w:t>nd</w:t>
      </w:r>
      <w:r>
        <w:t xml:space="preserve"> request considering it an error, or may allocate a new HO command. In any case, multiple preparation is not prevented in the standard (actually, existence of the Handover Cancel procedure supports the feature!).</w:t>
      </w:r>
    </w:p>
    <w:p w14:paraId="755C348F" w14:textId="006C3846" w:rsidR="000705C2" w:rsidRPr="000705C2" w:rsidRDefault="000705C2" w:rsidP="00AA0F95">
      <w:pPr>
        <w:rPr>
          <w:b/>
        </w:rPr>
      </w:pPr>
      <w:r w:rsidRPr="000705C2">
        <w:rPr>
          <w:b/>
        </w:rPr>
        <w:t xml:space="preserve">Observation 1.1: Multiple preparation, where more than one Handover preparation is initiate for the same UE, is a legacy mechanism supported in the standard. </w:t>
      </w:r>
    </w:p>
    <w:p w14:paraId="4DE164E4" w14:textId="719ED4F2" w:rsidR="00EB7D70" w:rsidRDefault="0091160B" w:rsidP="00AA0F95">
      <w:r>
        <w:t>Even though some scenarios discussed in RAN2 assume the CHO may be configured quite much in advance (in RRM terms), it is important to note that at the moment the CHO is being configured, there is only one cell reported from the UE as the possible candidate. Therefore, the principle of the classic HO shall be kept in Rel.16 CHO.</w:t>
      </w:r>
    </w:p>
    <w:p w14:paraId="1D316883" w14:textId="3C2C9383" w:rsidR="00FD4DE9" w:rsidRPr="00107F32" w:rsidRDefault="0091160B" w:rsidP="00AA0F95">
      <w:pPr>
        <w:rPr>
          <w:b/>
        </w:rPr>
      </w:pPr>
      <w:r w:rsidRPr="00107F32">
        <w:rPr>
          <w:b/>
        </w:rPr>
        <w:lastRenderedPageBreak/>
        <w:t xml:space="preserve">Proposal </w:t>
      </w:r>
      <w:r w:rsidR="006E71D5">
        <w:rPr>
          <w:b/>
        </w:rPr>
        <w:t>1.</w:t>
      </w:r>
      <w:r w:rsidRPr="00107F32">
        <w:rPr>
          <w:b/>
        </w:rPr>
        <w:t>1: The Handover Preparation</w:t>
      </w:r>
      <w:r w:rsidR="00FD4DE9" w:rsidRPr="00107F32">
        <w:rPr>
          <w:b/>
        </w:rPr>
        <w:t xml:space="preserve"> procedure, when used for CHO, shall </w:t>
      </w:r>
      <w:r w:rsidR="00BE543D">
        <w:rPr>
          <w:b/>
        </w:rPr>
        <w:t xml:space="preserve">keep the legacy HO principle: </w:t>
      </w:r>
      <w:r w:rsidR="00FD4DE9" w:rsidRPr="00107F32">
        <w:rPr>
          <w:b/>
        </w:rPr>
        <w:t>providing one target cell</w:t>
      </w:r>
      <w:r w:rsidR="00BE543D">
        <w:rPr>
          <w:b/>
        </w:rPr>
        <w:t xml:space="preserve"> in the request</w:t>
      </w:r>
      <w:r w:rsidR="00FD4DE9" w:rsidRPr="00107F32">
        <w:rPr>
          <w:b/>
        </w:rPr>
        <w:t>, and one HO Command in response.</w:t>
      </w:r>
    </w:p>
    <w:p w14:paraId="1B76A49A" w14:textId="18F38182" w:rsidR="00DF7CE0" w:rsidRDefault="00DF7CE0" w:rsidP="00AA0F95">
      <w:r>
        <w:t xml:space="preserve">Another aspect is change in the radio conditions that the UE experiences and the resulting change in the most appropriate target cell. (In typical scenario, where the CHO is used to increase robustness and therefore time between CHO configuration and CHO execution is small, such changes are less likely. Nonetheless, they are not forbidden and therefore, shall be handled.) </w:t>
      </w:r>
      <w:r w:rsidR="00164233">
        <w:t>In this case, the baseline solution that assumes cancelling and re-initialising the CHO will be time consuming and may jeopardise gains expected from the CHO</w:t>
      </w:r>
      <w:r w:rsidR="002510CE">
        <w:t>:</w:t>
      </w:r>
      <w:r w:rsidR="00164233">
        <w:t xml:space="preserve"> UE may either suffer RLF when waiting for the new config, or HOF when trying to access the target node when the CHO is reconfigured there. Therefore, the source node shall be allowed to re-initialise the Handover Preparation procedure towards the target node. </w:t>
      </w:r>
    </w:p>
    <w:p w14:paraId="1864665A" w14:textId="7D992D93" w:rsidR="00164233" w:rsidRPr="00107F32" w:rsidRDefault="00164233" w:rsidP="00AA0F95">
      <w:pPr>
        <w:rPr>
          <w:b/>
        </w:rPr>
      </w:pPr>
      <w:r w:rsidRPr="00107F32">
        <w:rPr>
          <w:b/>
        </w:rPr>
        <w:t xml:space="preserve">Proposal </w:t>
      </w:r>
      <w:r w:rsidR="006E71D5">
        <w:rPr>
          <w:b/>
        </w:rPr>
        <w:t>1.</w:t>
      </w:r>
      <w:r w:rsidRPr="00107F32">
        <w:rPr>
          <w:b/>
        </w:rPr>
        <w:t xml:space="preserve">2: </w:t>
      </w:r>
      <w:r w:rsidR="00310409">
        <w:rPr>
          <w:b/>
        </w:rPr>
        <w:t>T</w:t>
      </w:r>
      <w:r w:rsidR="00EF4175">
        <w:rPr>
          <w:b/>
        </w:rPr>
        <w:t xml:space="preserve">he </w:t>
      </w:r>
      <w:r w:rsidR="00310409">
        <w:rPr>
          <w:b/>
        </w:rPr>
        <w:t xml:space="preserve">multiple preparation known from the </w:t>
      </w:r>
      <w:r w:rsidR="00EF4175">
        <w:rPr>
          <w:b/>
        </w:rPr>
        <w:t>legacy HO</w:t>
      </w:r>
      <w:r w:rsidR="00310409">
        <w:rPr>
          <w:b/>
        </w:rPr>
        <w:t xml:space="preserve"> shall be allowed in case of CHO, too.</w:t>
      </w:r>
      <w:r w:rsidR="00EF4175">
        <w:rPr>
          <w:b/>
        </w:rPr>
        <w:t xml:space="preserve"> </w:t>
      </w:r>
      <w:r w:rsidR="00310409">
        <w:rPr>
          <w:b/>
        </w:rPr>
        <w:t xml:space="preserve">Therefore, </w:t>
      </w:r>
      <w:r w:rsidR="00EF4175">
        <w:rPr>
          <w:b/>
        </w:rPr>
        <w:t>t</w:t>
      </w:r>
      <w:r w:rsidRPr="00107F32">
        <w:rPr>
          <w:b/>
        </w:rPr>
        <w:t xml:space="preserve">he source node shall be allowed to re-initialise the Handover Preparation procedure for the same UE towards the same </w:t>
      </w:r>
      <w:r w:rsidR="00EF4175">
        <w:rPr>
          <w:b/>
        </w:rPr>
        <w:t xml:space="preserve">or different </w:t>
      </w:r>
      <w:r w:rsidRPr="00107F32">
        <w:rPr>
          <w:b/>
        </w:rPr>
        <w:t xml:space="preserve">target node. </w:t>
      </w:r>
      <w:r w:rsidR="00A90B53">
        <w:rPr>
          <w:b/>
        </w:rPr>
        <w:t xml:space="preserve">Any previously accepted CHO request </w:t>
      </w:r>
      <w:r w:rsidR="00EF4175">
        <w:rPr>
          <w:b/>
        </w:rPr>
        <w:t xml:space="preserve">for this UE </w:t>
      </w:r>
      <w:r w:rsidR="00A90B53">
        <w:rPr>
          <w:b/>
        </w:rPr>
        <w:t>remain valid.</w:t>
      </w:r>
    </w:p>
    <w:p w14:paraId="2C0655C2" w14:textId="7E329794" w:rsidR="00164233" w:rsidRDefault="00164233" w:rsidP="00AA0F95">
      <w:r>
        <w:t>As mentioned above, the</w:t>
      </w:r>
      <w:r w:rsidR="007905DB">
        <w:t xml:space="preserve"> only known reason to reinitialise HO preparation is the change of the </w:t>
      </w:r>
      <w:r>
        <w:t xml:space="preserve">target cell </w:t>
      </w:r>
      <w:r w:rsidR="007905DB">
        <w:t xml:space="preserve">that </w:t>
      </w:r>
      <w:r>
        <w:t xml:space="preserve">stems normally from the change of the radio conditions reported from the UE. </w:t>
      </w:r>
      <w:r w:rsidR="007905DB">
        <w:t>Therefore, the target node identifies different CHO “profiles” of the same UE using the target cell ID.</w:t>
      </w:r>
    </w:p>
    <w:p w14:paraId="1F22F681" w14:textId="08EA061C" w:rsidR="00164233" w:rsidRPr="00107F32" w:rsidRDefault="00164233" w:rsidP="00AA0F95">
      <w:pPr>
        <w:rPr>
          <w:b/>
        </w:rPr>
      </w:pPr>
      <w:r w:rsidRPr="00107F32">
        <w:rPr>
          <w:b/>
        </w:rPr>
        <w:t xml:space="preserve">Proposal </w:t>
      </w:r>
      <w:r w:rsidR="006E71D5">
        <w:rPr>
          <w:b/>
        </w:rPr>
        <w:t>1.</w:t>
      </w:r>
      <w:r w:rsidRPr="00107F32">
        <w:rPr>
          <w:b/>
        </w:rPr>
        <w:t xml:space="preserve">3: </w:t>
      </w:r>
      <w:r w:rsidR="007905DB">
        <w:rPr>
          <w:b/>
        </w:rPr>
        <w:t>Different CHO requests of the same UE are identified with the target cell ID.</w:t>
      </w:r>
    </w:p>
    <w:p w14:paraId="5C904126" w14:textId="0C006179" w:rsidR="0041566D" w:rsidRDefault="0041566D" w:rsidP="0041566D">
      <w:pPr>
        <w:pStyle w:val="Heading2"/>
      </w:pPr>
      <w:r>
        <w:t>2.2</w:t>
      </w:r>
      <w:r>
        <w:tab/>
        <w:t>Handling of the RRC reconfiguration</w:t>
      </w:r>
    </w:p>
    <w:p w14:paraId="361DEFE1" w14:textId="5A9FC2CF" w:rsidR="00AF3F37" w:rsidRDefault="0095208E" w:rsidP="0041566D">
      <w:r>
        <w:t xml:space="preserve">As </w:t>
      </w:r>
      <w:r w:rsidR="00604791">
        <w:t>mentioned</w:t>
      </w:r>
      <w:r>
        <w:t xml:space="preserve"> above, one of the scenarios for CHO </w:t>
      </w:r>
      <w:r w:rsidR="007F7D2E">
        <w:t xml:space="preserve">discussed in RAN2 </w:t>
      </w:r>
      <w:r>
        <w:t>is configuring the UE well in advance</w:t>
      </w:r>
      <w:r w:rsidR="00AF248A">
        <w:t xml:space="preserve"> (in RRM time scale)</w:t>
      </w:r>
      <w:r>
        <w:t xml:space="preserve">. </w:t>
      </w:r>
      <w:r w:rsidR="007F7D2E">
        <w:t xml:space="preserve">In this </w:t>
      </w:r>
      <w:r w:rsidR="00AF248A">
        <w:t>case, it is perfectly possible that the UE has to be reconfigured</w:t>
      </w:r>
      <w:r w:rsidR="00AF3F37">
        <w:t xml:space="preserve"> before the CHO is executed. RRC already allows for such reconfigurations.</w:t>
      </w:r>
    </w:p>
    <w:p w14:paraId="497696BE" w14:textId="7E993ACF" w:rsidR="00AF3F37" w:rsidRPr="00AF3F37" w:rsidRDefault="00AF3F37" w:rsidP="0041566D">
      <w:pPr>
        <w:rPr>
          <w:b/>
        </w:rPr>
      </w:pPr>
      <w:r w:rsidRPr="00AF3F37">
        <w:rPr>
          <w:b/>
        </w:rPr>
        <w:t xml:space="preserve">Observation </w:t>
      </w:r>
      <w:r w:rsidR="006E71D5">
        <w:rPr>
          <w:b/>
        </w:rPr>
        <w:t>2.</w:t>
      </w:r>
      <w:r w:rsidRPr="00AF3F37">
        <w:rPr>
          <w:b/>
        </w:rPr>
        <w:t>1: According to the RRC specification, the UE remains under the source’s control until CHO is executed</w:t>
      </w:r>
      <w:r w:rsidR="00604791">
        <w:rPr>
          <w:b/>
        </w:rPr>
        <w:t>.</w:t>
      </w:r>
      <w:r w:rsidRPr="00AF3F37">
        <w:rPr>
          <w:b/>
        </w:rPr>
        <w:t xml:space="preserve"> </w:t>
      </w:r>
      <w:r w:rsidR="00604791">
        <w:rPr>
          <w:b/>
        </w:rPr>
        <w:t>D</w:t>
      </w:r>
      <w:r w:rsidRPr="00AF3F37">
        <w:rPr>
          <w:b/>
        </w:rPr>
        <w:t>uring this time</w:t>
      </w:r>
      <w:r w:rsidR="00604791">
        <w:rPr>
          <w:b/>
        </w:rPr>
        <w:t>,</w:t>
      </w:r>
      <w:r w:rsidRPr="00AF3F37">
        <w:rPr>
          <w:b/>
        </w:rPr>
        <w:t xml:space="preserve"> any RRC reconfiguration is allowed.</w:t>
      </w:r>
    </w:p>
    <w:p w14:paraId="526DEAB1" w14:textId="6C96E5F1" w:rsidR="00C32F24" w:rsidRDefault="00AF3F37" w:rsidP="001C76D1">
      <w:r>
        <w:t xml:space="preserve">There may be various </w:t>
      </w:r>
      <w:r w:rsidR="00465C8F">
        <w:t>reasons for the reconfiguration</w:t>
      </w:r>
      <w:r w:rsidR="001C76D1">
        <w:t xml:space="preserve">. Some concern the radio settings at the source and thus do not concern the target, but others may require change of resource allocation for the UE. If the </w:t>
      </w:r>
      <w:r w:rsidR="00D40F2E">
        <w:t xml:space="preserve">change </w:t>
      </w:r>
      <w:r w:rsidR="002D26EE">
        <w:t>is not known at the target, delta configuration is not possible any longer. Full configuration is still possible, but the UE will be configured according to the CHO request, so differently than at the source. In some cases</w:t>
      </w:r>
      <w:r w:rsidR="00BE543D">
        <w:t>,</w:t>
      </w:r>
      <w:r w:rsidR="002D26EE">
        <w:t xml:space="preserve"> this will lead to noticeable degradation of user’s perceived quality.</w:t>
      </w:r>
    </w:p>
    <w:p w14:paraId="28F2E01D" w14:textId="2F4A4E77" w:rsidR="002D26EE" w:rsidRDefault="002D26EE" w:rsidP="00495283">
      <w:r>
        <w:t xml:space="preserve">In the chapter above, </w:t>
      </w:r>
      <w:r w:rsidR="00495283">
        <w:t>it is discussed that the multiple preparation known from the legacy HO must be allowed for CHO, too. The differentiating identifier of different CHO requests is the target cell ID. Therefore, e</w:t>
      </w:r>
      <w:r>
        <w:t xml:space="preserve">xactly the same </w:t>
      </w:r>
      <w:r w:rsidR="00495283">
        <w:t xml:space="preserve">HO </w:t>
      </w:r>
      <w:r>
        <w:t xml:space="preserve">procedure can be used for informing the target node about reconfiguration of the </w:t>
      </w:r>
      <w:r w:rsidR="00495283">
        <w:t>previously accepted CHO request</w:t>
      </w:r>
      <w:r>
        <w:t xml:space="preserve">. </w:t>
      </w:r>
    </w:p>
    <w:p w14:paraId="2F568DE9" w14:textId="069D9E44" w:rsidR="002D26EE" w:rsidRPr="00935903" w:rsidRDefault="002D26EE" w:rsidP="001C76D1">
      <w:pPr>
        <w:rPr>
          <w:b/>
        </w:rPr>
      </w:pPr>
      <w:r w:rsidRPr="00935903">
        <w:rPr>
          <w:b/>
        </w:rPr>
        <w:t xml:space="preserve">Proposal </w:t>
      </w:r>
      <w:r w:rsidR="006E71D5">
        <w:rPr>
          <w:b/>
        </w:rPr>
        <w:t>2.1</w:t>
      </w:r>
      <w:r w:rsidRPr="00935903">
        <w:rPr>
          <w:b/>
        </w:rPr>
        <w:t xml:space="preserve">: The source cell shall inform the target about relevant resource reconfigurations using the HO Preparation procedure. </w:t>
      </w:r>
      <w:r w:rsidR="00495283">
        <w:rPr>
          <w:b/>
        </w:rPr>
        <w:t>The procedure is identified as a modification, when already known target cell ID is used.</w:t>
      </w:r>
    </w:p>
    <w:p w14:paraId="43616BE7" w14:textId="2C916474" w:rsidR="00C32F24" w:rsidRDefault="002D26EE" w:rsidP="0041566D">
      <w:r>
        <w:t xml:space="preserve">The word “relevant” </w:t>
      </w:r>
      <w:r w:rsidR="00935903">
        <w:t xml:space="preserve">above </w:t>
      </w:r>
      <w:r>
        <w:t xml:space="preserve">addresses the point that some reconfigurations may </w:t>
      </w:r>
      <w:r w:rsidR="00935903">
        <w:t xml:space="preserve">be irrelevant for the target node, i.e. such that concern radio configuration in the serving cell. </w:t>
      </w:r>
    </w:p>
    <w:p w14:paraId="60C7899C" w14:textId="50ED757C" w:rsidR="00935903" w:rsidRPr="00935903" w:rsidRDefault="00935903" w:rsidP="0041566D">
      <w:pPr>
        <w:rPr>
          <w:b/>
        </w:rPr>
      </w:pPr>
      <w:r w:rsidRPr="00935903">
        <w:rPr>
          <w:b/>
        </w:rPr>
        <w:t xml:space="preserve">Proposal </w:t>
      </w:r>
      <w:r w:rsidR="006E71D5">
        <w:rPr>
          <w:b/>
        </w:rPr>
        <w:t>2.2</w:t>
      </w:r>
      <w:r w:rsidRPr="00935903">
        <w:rPr>
          <w:b/>
        </w:rPr>
        <w:t>: It is FFS, if all the RRC reconfigurations shall be informed to the target, as well as exact order of signalling (i.e. shall the source first inform the target and wait for the response, or first reconfigure the UE and then inform the target).</w:t>
      </w:r>
    </w:p>
    <w:p w14:paraId="7D517FD8" w14:textId="30A80A57" w:rsidR="0041566D" w:rsidRDefault="0041566D" w:rsidP="0041566D">
      <w:pPr>
        <w:pStyle w:val="Heading2"/>
      </w:pPr>
      <w:r>
        <w:t>2.3</w:t>
      </w:r>
      <w:r>
        <w:tab/>
      </w:r>
      <w:bookmarkStart w:id="3" w:name="_Hlk16851827"/>
      <w:r>
        <w:t>Cancelling of the accepted CHO</w:t>
      </w:r>
      <w:r w:rsidR="00A81258">
        <w:t xml:space="preserve"> from the target side</w:t>
      </w:r>
      <w:bookmarkEnd w:id="3"/>
    </w:p>
    <w:p w14:paraId="3AA26C51" w14:textId="7206171F" w:rsidR="0041566D" w:rsidRDefault="00A33330" w:rsidP="0041566D">
      <w:r>
        <w:t xml:space="preserve">As discussed in [1], </w:t>
      </w:r>
      <w:r w:rsidR="006E71D5">
        <w:t>theoretically, the existing Handover Cancel procedure can be reused to cancel a CHO from the target. The only change needed is allowing the target node to use the procedure. This shall not cause any interoperability issues, because a node that does not handle CHO will never trigger a CHO – so will never receive the HO CANCEL from the target.</w:t>
      </w:r>
    </w:p>
    <w:p w14:paraId="6EB2046F" w14:textId="5D04BA71" w:rsidR="006E71D5" w:rsidRPr="006E71D5" w:rsidRDefault="006E71D5" w:rsidP="0041566D">
      <w:pPr>
        <w:rPr>
          <w:b/>
        </w:rPr>
      </w:pPr>
      <w:r w:rsidRPr="006E71D5">
        <w:rPr>
          <w:b/>
        </w:rPr>
        <w:t>Observation 3.1: Technically, the existing Handover Cancel procedure can be used “as is” also in case of target-initiated CHO cancel.</w:t>
      </w:r>
    </w:p>
    <w:p w14:paraId="197178B7" w14:textId="02037DFE" w:rsidR="006E71D5" w:rsidRDefault="006E71D5" w:rsidP="0041566D">
      <w:r>
        <w:t xml:space="preserve">However, there is another option. At the last meeting, it was agreed to enable a new class-2 procedure to enable the target to inform the source node that the UE has accessed the target and therefore that the source node may start data </w:t>
      </w:r>
      <w:r>
        <w:lastRenderedPageBreak/>
        <w:t xml:space="preserve">forwarding (in case of late forwarding). Currently, the procedure is labelled as “Handover Success”, but it can be easily made more general and used also to cancel the CHO. For example, if its name is changed to “Handover Status”, a new IE can be added with enumerated status information. This could be “success” and “cancel”. </w:t>
      </w:r>
    </w:p>
    <w:p w14:paraId="5B053537" w14:textId="27A463E7" w:rsidR="006E71D5" w:rsidRPr="006E71D5" w:rsidRDefault="006E71D5" w:rsidP="0041566D">
      <w:pPr>
        <w:rPr>
          <w:b/>
        </w:rPr>
      </w:pPr>
      <w:r w:rsidRPr="006E71D5">
        <w:rPr>
          <w:b/>
        </w:rPr>
        <w:t>Observation 3.2: The newly agreed procedure “Handover Success” can be made more general and used also to cancel agreed CHO from the target.</w:t>
      </w:r>
    </w:p>
    <w:p w14:paraId="68995893" w14:textId="68CD65FE" w:rsidR="006E71D5" w:rsidRDefault="006E71D5" w:rsidP="0041566D">
      <w:r>
        <w:t>What should be avoided though, is defining yet another new procedure, only to cancel the CHO from the target.</w:t>
      </w:r>
    </w:p>
    <w:p w14:paraId="2ACEA7DA" w14:textId="1BCA4D40" w:rsidR="006E71D5" w:rsidRPr="006E71D5" w:rsidRDefault="006E71D5" w:rsidP="0041566D">
      <w:pPr>
        <w:rPr>
          <w:b/>
        </w:rPr>
      </w:pPr>
      <w:r w:rsidRPr="006E71D5">
        <w:rPr>
          <w:b/>
        </w:rPr>
        <w:t>Proposal 3.1: In order to enable the target to cancel already agreed CHO, either the existing Handover Cancel procedure shall be used, or the new Handover Success procedure shall be adapted.</w:t>
      </w:r>
    </w:p>
    <w:p w14:paraId="00318378" w14:textId="137890D1" w:rsidR="00A81258" w:rsidRDefault="00A81258" w:rsidP="00A81258">
      <w:r>
        <w:t xml:space="preserve">Yet another aspect of the cancelling relates to the multiple preparation: if the target node accepted more than one CHO request for the same UE, shall a HO Cancel relate to all of the requests of the same UE? In order to save signalling, such option shall be allowed, but there may be scenarios where only one request is to be cancelled (e.g. outage of a single target cell). </w:t>
      </w:r>
    </w:p>
    <w:p w14:paraId="1D8A8BD9" w14:textId="11E2EF66" w:rsidR="00A81258" w:rsidRPr="006E71D5" w:rsidRDefault="00A81258" w:rsidP="00A81258">
      <w:pPr>
        <w:rPr>
          <w:b/>
        </w:rPr>
      </w:pPr>
      <w:r w:rsidRPr="006E71D5">
        <w:rPr>
          <w:b/>
        </w:rPr>
        <w:t>Proposal 3.</w:t>
      </w:r>
      <w:r>
        <w:rPr>
          <w:b/>
        </w:rPr>
        <w:t>2</w:t>
      </w:r>
      <w:r w:rsidRPr="006E71D5">
        <w:rPr>
          <w:b/>
        </w:rPr>
        <w:t xml:space="preserve">: </w:t>
      </w:r>
      <w:r>
        <w:rPr>
          <w:b/>
        </w:rPr>
        <w:t xml:space="preserve">The procedure used for CHO cancel shall allow to cancel all requests of the given UE, or only selected requests </w:t>
      </w:r>
      <w:r w:rsidR="005759A2">
        <w:rPr>
          <w:b/>
        </w:rPr>
        <w:t>(</w:t>
      </w:r>
      <w:r>
        <w:rPr>
          <w:b/>
        </w:rPr>
        <w:t>identified with the target cell ID).</w:t>
      </w:r>
    </w:p>
    <w:p w14:paraId="0F095909" w14:textId="6177F97E" w:rsidR="005759A2" w:rsidRDefault="005759A2" w:rsidP="005759A2">
      <w:r>
        <w:t xml:space="preserve">Since the same applies to the </w:t>
      </w:r>
      <w:r w:rsidR="00BC6DEB">
        <w:t>source-initiated CHO cancel, also the source shall have the option to cancel all or selected requests. It is already agreed that the existing HO Cancel procedure will be used, which identifies the UE only, so due to backward-compatibility, the “cancel all” is the default option. However, the procedure may be enhanced to carry optional list of target cell IDs – then, only the listed requests are to be cancelled.</w:t>
      </w:r>
    </w:p>
    <w:p w14:paraId="74A96749" w14:textId="4EDCE15B" w:rsidR="005759A2" w:rsidRPr="006E71D5" w:rsidRDefault="005759A2" w:rsidP="005759A2">
      <w:pPr>
        <w:rPr>
          <w:b/>
        </w:rPr>
      </w:pPr>
      <w:r w:rsidRPr="006E71D5">
        <w:rPr>
          <w:b/>
        </w:rPr>
        <w:t>Proposal 3.</w:t>
      </w:r>
      <w:r w:rsidR="00BC6DEB">
        <w:rPr>
          <w:b/>
        </w:rPr>
        <w:t>3</w:t>
      </w:r>
      <w:r w:rsidRPr="006E71D5">
        <w:rPr>
          <w:b/>
        </w:rPr>
        <w:t xml:space="preserve">: </w:t>
      </w:r>
      <w:r w:rsidR="00BC6DEB">
        <w:rPr>
          <w:b/>
        </w:rPr>
        <w:t>For the source-initiated CHO cancel, the existing HO Cancel procedure shall be enhanced so that a list of target cells to cancel may be included.</w:t>
      </w:r>
    </w:p>
    <w:p w14:paraId="28E42E52" w14:textId="77777777" w:rsidR="000F16C4" w:rsidRPr="005F10C3" w:rsidRDefault="00CD2620" w:rsidP="00E00CEF">
      <w:pPr>
        <w:pStyle w:val="Heading1"/>
      </w:pPr>
      <w:r w:rsidRPr="005F10C3">
        <w:t>3</w:t>
      </w:r>
      <w:r w:rsidR="000F16C4" w:rsidRPr="005F10C3">
        <w:tab/>
      </w:r>
      <w:r w:rsidRPr="005F10C3">
        <w:t>Conclusions</w:t>
      </w:r>
    </w:p>
    <w:p w14:paraId="446D9785" w14:textId="5814AA6F" w:rsidR="00666CD2" w:rsidRDefault="00CC4DEA" w:rsidP="009F482E">
      <w:pPr>
        <w:jc w:val="both"/>
        <w:rPr>
          <w:bCs/>
          <w:lang w:val="en-US"/>
        </w:rPr>
      </w:pPr>
      <w:r>
        <w:rPr>
          <w:bCs/>
          <w:lang w:val="en-US"/>
        </w:rPr>
        <w:t>In this paper we review the open issues identified at the initial discussion at RAN3 #104. The conclusions can be summarized as follows:</w:t>
      </w:r>
    </w:p>
    <w:p w14:paraId="2BDB4B34" w14:textId="5C1679EF" w:rsidR="00CC4DEA" w:rsidRPr="00CC4DEA" w:rsidRDefault="00CC4DEA" w:rsidP="00CC4DEA">
      <w:pPr>
        <w:jc w:val="both"/>
        <w:rPr>
          <w:bCs/>
        </w:rPr>
      </w:pPr>
      <w:r w:rsidRPr="00CC4DEA">
        <w:rPr>
          <w:bCs/>
        </w:rPr>
        <w:t xml:space="preserve">For the </w:t>
      </w:r>
      <w:r>
        <w:rPr>
          <w:bCs/>
        </w:rPr>
        <w:t>issue</w:t>
      </w:r>
      <w:r w:rsidRPr="00CC4DEA">
        <w:rPr>
          <w:bCs/>
        </w:rPr>
        <w:t xml:space="preserve"> of separate CHO preparations towards different cells of the same target node:</w:t>
      </w:r>
    </w:p>
    <w:p w14:paraId="3900F5E3" w14:textId="77777777" w:rsidR="00CC4DEA" w:rsidRPr="00CC4DEA" w:rsidRDefault="00CC4DEA" w:rsidP="00CC4DEA">
      <w:pPr>
        <w:ind w:left="284"/>
        <w:jc w:val="both"/>
        <w:rPr>
          <w:bCs/>
          <w:lang w:val="en-US"/>
        </w:rPr>
      </w:pPr>
      <w:r w:rsidRPr="00CC4DEA">
        <w:rPr>
          <w:bCs/>
          <w:lang w:val="en-US"/>
        </w:rPr>
        <w:t xml:space="preserve">Observation 1.1: Multiple preparation, where more than one Handover preparation is initiate for the same UE, is a legacy mechanism supported in the standard. </w:t>
      </w:r>
    </w:p>
    <w:p w14:paraId="74E5D9C2" w14:textId="77777777" w:rsidR="00CC4DEA" w:rsidRPr="00CC4DEA" w:rsidRDefault="00CC4DEA" w:rsidP="00CC4DEA">
      <w:pPr>
        <w:ind w:left="284"/>
        <w:jc w:val="both"/>
        <w:rPr>
          <w:bCs/>
          <w:lang w:val="en-US"/>
        </w:rPr>
      </w:pPr>
      <w:r w:rsidRPr="00CC4DEA">
        <w:rPr>
          <w:bCs/>
          <w:lang w:val="en-US"/>
        </w:rPr>
        <w:t>Proposal 1.1: The Handover Preparation procedure, when used for CHO, shall keep the legacy HO principle: providing one target cell in the request, and one HO Command in response.</w:t>
      </w:r>
    </w:p>
    <w:p w14:paraId="30DFCE94" w14:textId="77777777" w:rsidR="00CC4DEA" w:rsidRPr="00CC4DEA" w:rsidRDefault="00CC4DEA" w:rsidP="00CC4DEA">
      <w:pPr>
        <w:ind w:left="284"/>
        <w:jc w:val="both"/>
        <w:rPr>
          <w:bCs/>
          <w:lang w:val="en-US"/>
        </w:rPr>
      </w:pPr>
      <w:r w:rsidRPr="00CC4DEA">
        <w:rPr>
          <w:bCs/>
          <w:lang w:val="en-US"/>
        </w:rPr>
        <w:t>Proposal 1.2: The multiple preparation known from the legacy HO shall be allowed in case of CHO, too. Therefore, the source node shall be allowed to re-initialise the Handover Preparation procedure for the same UE towards the same or different target node. Any previously accepted CHO request for this UE remain valid.</w:t>
      </w:r>
    </w:p>
    <w:p w14:paraId="42C031C2" w14:textId="7BAF60FB" w:rsidR="00CC4DEA" w:rsidRDefault="00CC4DEA" w:rsidP="00CC4DEA">
      <w:pPr>
        <w:ind w:left="284"/>
        <w:jc w:val="both"/>
        <w:rPr>
          <w:bCs/>
          <w:lang w:val="en-US"/>
        </w:rPr>
      </w:pPr>
      <w:r w:rsidRPr="00CC4DEA">
        <w:rPr>
          <w:bCs/>
          <w:lang w:val="en-US"/>
        </w:rPr>
        <w:t>Proposal 1.3: Different CHO requests of the same UE are identified with the target cell ID.</w:t>
      </w:r>
    </w:p>
    <w:p w14:paraId="122874FF" w14:textId="23CD4EDB" w:rsidR="00CC4DEA" w:rsidRDefault="00CC4DEA" w:rsidP="00CC4DEA">
      <w:pPr>
        <w:jc w:val="both"/>
        <w:rPr>
          <w:bCs/>
          <w:lang w:val="en-US"/>
        </w:rPr>
      </w:pPr>
      <w:r>
        <w:rPr>
          <w:bCs/>
          <w:lang w:val="en-US"/>
        </w:rPr>
        <w:t>For the issue of h</w:t>
      </w:r>
      <w:r w:rsidRPr="00CC4DEA">
        <w:rPr>
          <w:bCs/>
          <w:lang w:val="en-US"/>
        </w:rPr>
        <w:t>andling of the RRC reconfiguration</w:t>
      </w:r>
      <w:r>
        <w:rPr>
          <w:bCs/>
          <w:lang w:val="en-US"/>
        </w:rPr>
        <w:t>:</w:t>
      </w:r>
    </w:p>
    <w:p w14:paraId="08A3911B" w14:textId="77777777" w:rsidR="00CC4DEA" w:rsidRPr="00CC4DEA" w:rsidRDefault="00CC4DEA" w:rsidP="00CC4DEA">
      <w:pPr>
        <w:ind w:left="284"/>
        <w:jc w:val="both"/>
        <w:rPr>
          <w:bCs/>
          <w:lang w:val="en-US"/>
        </w:rPr>
      </w:pPr>
      <w:r w:rsidRPr="00CC4DEA">
        <w:rPr>
          <w:bCs/>
          <w:lang w:val="en-US"/>
        </w:rPr>
        <w:t>Observation 2.1: According to the RRC specification, the UE remains under the source’s control until CHO is executed. During this time, any RRC reconfiguration is allowed.</w:t>
      </w:r>
    </w:p>
    <w:p w14:paraId="06028012" w14:textId="77777777" w:rsidR="00CC4DEA" w:rsidRPr="00CC4DEA" w:rsidRDefault="00CC4DEA" w:rsidP="00CC4DEA">
      <w:pPr>
        <w:ind w:left="284"/>
        <w:jc w:val="both"/>
        <w:rPr>
          <w:bCs/>
          <w:lang w:val="en-US"/>
        </w:rPr>
      </w:pPr>
      <w:r w:rsidRPr="00CC4DEA">
        <w:rPr>
          <w:bCs/>
          <w:lang w:val="en-US"/>
        </w:rPr>
        <w:t>Proposal 2.1: The source cell shall inform the target about relevant resource reconfigurations using the HO Preparation procedure. The procedure is identified as a modification, when already known target cell ID is used.</w:t>
      </w:r>
    </w:p>
    <w:p w14:paraId="0F1EAAF5" w14:textId="47C1AA53" w:rsidR="00CC4DEA" w:rsidRDefault="00CC4DEA" w:rsidP="00CC4DEA">
      <w:pPr>
        <w:ind w:left="284"/>
        <w:jc w:val="both"/>
        <w:rPr>
          <w:bCs/>
          <w:lang w:val="en-US"/>
        </w:rPr>
      </w:pPr>
      <w:r w:rsidRPr="00CC4DEA">
        <w:rPr>
          <w:bCs/>
          <w:lang w:val="en-US"/>
        </w:rPr>
        <w:t>Proposal 2.2: It is FFS, if all the RRC reconfigurations shall be informed to the target, as well as exact order of signalling (i.e. shall the source first inform the target and wait for the response, or first reconfigure the UE and then inform the target).</w:t>
      </w:r>
    </w:p>
    <w:p w14:paraId="6BB0168E" w14:textId="7FF90649" w:rsidR="00CC4DEA" w:rsidRDefault="00CC4DEA" w:rsidP="00CC4DEA">
      <w:pPr>
        <w:jc w:val="both"/>
        <w:rPr>
          <w:bCs/>
          <w:lang w:val="en-US"/>
        </w:rPr>
      </w:pPr>
      <w:r>
        <w:rPr>
          <w:bCs/>
          <w:lang w:val="en-US"/>
        </w:rPr>
        <w:t>For the issue of c</w:t>
      </w:r>
      <w:r w:rsidRPr="00CC4DEA">
        <w:rPr>
          <w:bCs/>
          <w:lang w:val="en-US"/>
        </w:rPr>
        <w:t>ancelling of the accepted CHO from the target side</w:t>
      </w:r>
      <w:r>
        <w:rPr>
          <w:bCs/>
          <w:lang w:val="en-US"/>
        </w:rPr>
        <w:t>:</w:t>
      </w:r>
    </w:p>
    <w:p w14:paraId="7C62E387" w14:textId="77777777" w:rsidR="00CC4DEA" w:rsidRPr="00CC4DEA" w:rsidRDefault="00CC4DEA" w:rsidP="00CC4DEA">
      <w:pPr>
        <w:ind w:left="284"/>
        <w:jc w:val="both"/>
        <w:rPr>
          <w:bCs/>
          <w:lang w:val="en-US"/>
        </w:rPr>
      </w:pPr>
      <w:r w:rsidRPr="00CC4DEA">
        <w:rPr>
          <w:bCs/>
          <w:lang w:val="en-US"/>
        </w:rPr>
        <w:t>Observation 3.1: Technically, the existing Handover Cancel procedure can be used “as is” also in case of target-initiated CHO cancel.</w:t>
      </w:r>
    </w:p>
    <w:p w14:paraId="78BFAEF2" w14:textId="77777777" w:rsidR="00CC4DEA" w:rsidRPr="00CC4DEA" w:rsidRDefault="00CC4DEA" w:rsidP="00CC4DEA">
      <w:pPr>
        <w:ind w:left="284"/>
        <w:jc w:val="both"/>
        <w:rPr>
          <w:bCs/>
          <w:lang w:val="en-US"/>
        </w:rPr>
      </w:pPr>
      <w:r w:rsidRPr="00CC4DEA">
        <w:rPr>
          <w:bCs/>
          <w:lang w:val="en-US"/>
        </w:rPr>
        <w:lastRenderedPageBreak/>
        <w:t>Observation 3.2: The newly agreed procedure “Handover Success” can be made more general and used also to cancel agreed CHO from the target.</w:t>
      </w:r>
    </w:p>
    <w:p w14:paraId="6CA77252" w14:textId="77777777" w:rsidR="00CC4DEA" w:rsidRPr="00CC4DEA" w:rsidRDefault="00CC4DEA" w:rsidP="00CC4DEA">
      <w:pPr>
        <w:ind w:left="284"/>
        <w:jc w:val="both"/>
        <w:rPr>
          <w:bCs/>
          <w:lang w:val="en-US"/>
        </w:rPr>
      </w:pPr>
      <w:r w:rsidRPr="00CC4DEA">
        <w:rPr>
          <w:bCs/>
          <w:lang w:val="en-US"/>
        </w:rPr>
        <w:t>Proposal 3.1: In order to enable the target to cancel already agreed CHO, either the existing Handover Cancel procedure shall be used, or the new Handover Success procedure shall be adapted.</w:t>
      </w:r>
    </w:p>
    <w:p w14:paraId="6ED9B018" w14:textId="77777777" w:rsidR="00CC4DEA" w:rsidRPr="00CC4DEA" w:rsidRDefault="00CC4DEA" w:rsidP="00CC4DEA">
      <w:pPr>
        <w:ind w:left="284"/>
        <w:jc w:val="both"/>
        <w:rPr>
          <w:bCs/>
          <w:lang w:val="en-US"/>
        </w:rPr>
      </w:pPr>
      <w:r w:rsidRPr="00CC4DEA">
        <w:rPr>
          <w:bCs/>
          <w:lang w:val="en-US"/>
        </w:rPr>
        <w:t>Proposal 3.2: The procedure used for CHO cancel shall allow to cancel all requests of the given UE, or only selected requests (identified with the target cell ID).</w:t>
      </w:r>
    </w:p>
    <w:p w14:paraId="0F7324DF" w14:textId="72DCC2EF" w:rsidR="00CC4DEA" w:rsidRDefault="00CC4DEA" w:rsidP="00CC4DEA">
      <w:pPr>
        <w:ind w:left="284"/>
        <w:jc w:val="both"/>
        <w:rPr>
          <w:bCs/>
          <w:lang w:val="en-US"/>
        </w:rPr>
      </w:pPr>
      <w:r w:rsidRPr="00CC4DEA">
        <w:rPr>
          <w:bCs/>
          <w:lang w:val="en-US"/>
        </w:rPr>
        <w:t>Proposal 3.3: For the source-initiated CHO cancel, the existing HO Cancel procedure shall be enhanced so that a list of target cells to cancel may be included.</w:t>
      </w:r>
    </w:p>
    <w:p w14:paraId="1A2F2EC8" w14:textId="119D2630" w:rsidR="00CC4DEA" w:rsidRDefault="00CC4DEA" w:rsidP="00CC4DEA">
      <w:pPr>
        <w:jc w:val="both"/>
        <w:rPr>
          <w:bCs/>
          <w:lang w:val="en-US"/>
        </w:rPr>
      </w:pPr>
      <w:r>
        <w:rPr>
          <w:bCs/>
          <w:lang w:val="en-US"/>
        </w:rPr>
        <w:t>The above proposals are implemented in 2 text proposals for the BL CRs for Xn [2] and X2 [3].</w:t>
      </w:r>
    </w:p>
    <w:p w14:paraId="483F8717" w14:textId="77777777" w:rsidR="00403B9B" w:rsidRPr="006E13D1" w:rsidRDefault="00403B9B" w:rsidP="00403B9B">
      <w:pPr>
        <w:pStyle w:val="Heading1"/>
      </w:pPr>
      <w:r w:rsidRPr="006E13D1">
        <w:t>References</w:t>
      </w:r>
    </w:p>
    <w:p w14:paraId="3DE2A0DA" w14:textId="55050636" w:rsidR="00EF4630" w:rsidRDefault="00846E32" w:rsidP="00671901">
      <w:pPr>
        <w:numPr>
          <w:ilvl w:val="0"/>
          <w:numId w:val="4"/>
        </w:numPr>
        <w:overflowPunct w:val="0"/>
        <w:autoSpaceDE w:val="0"/>
        <w:autoSpaceDN w:val="0"/>
        <w:adjustRightInd w:val="0"/>
        <w:textAlignment w:val="baseline"/>
        <w:rPr>
          <w:lang w:val="en-US"/>
        </w:rPr>
      </w:pPr>
      <w:bookmarkStart w:id="4" w:name="_Hlk4571997"/>
      <w:r>
        <w:rPr>
          <w:lang w:val="en-US"/>
        </w:rPr>
        <w:t>R3-192415, RAN3 #104</w:t>
      </w:r>
    </w:p>
    <w:p w14:paraId="3CCC2441" w14:textId="2ED832EB" w:rsidR="00846E32" w:rsidRDefault="00CC4DEA" w:rsidP="00671901">
      <w:pPr>
        <w:numPr>
          <w:ilvl w:val="0"/>
          <w:numId w:val="4"/>
        </w:numPr>
        <w:overflowPunct w:val="0"/>
        <w:autoSpaceDE w:val="0"/>
        <w:autoSpaceDN w:val="0"/>
        <w:adjustRightInd w:val="0"/>
        <w:textAlignment w:val="baseline"/>
        <w:rPr>
          <w:lang w:val="en-US"/>
        </w:rPr>
      </w:pPr>
      <w:r>
        <w:rPr>
          <w:lang w:val="en-US"/>
        </w:rPr>
        <w:t>R3-193501, RAN3 #105</w:t>
      </w:r>
    </w:p>
    <w:p w14:paraId="37263152" w14:textId="76192084" w:rsidR="00CC4DEA" w:rsidRPr="00671901" w:rsidRDefault="00CC4DEA" w:rsidP="00671901">
      <w:pPr>
        <w:numPr>
          <w:ilvl w:val="0"/>
          <w:numId w:val="4"/>
        </w:numPr>
        <w:overflowPunct w:val="0"/>
        <w:autoSpaceDE w:val="0"/>
        <w:autoSpaceDN w:val="0"/>
        <w:adjustRightInd w:val="0"/>
        <w:textAlignment w:val="baseline"/>
        <w:rPr>
          <w:lang w:val="en-US"/>
        </w:rPr>
      </w:pPr>
      <w:r>
        <w:rPr>
          <w:lang w:val="en-US"/>
        </w:rPr>
        <w:t>R3-193502, RAN3 #105</w:t>
      </w:r>
    </w:p>
    <w:bookmarkEnd w:id="4"/>
    <w:p w14:paraId="01293442" w14:textId="77777777" w:rsidR="0022219E" w:rsidRPr="00591568" w:rsidRDefault="0022219E" w:rsidP="0022219E">
      <w:pPr>
        <w:overflowPunct w:val="0"/>
        <w:autoSpaceDE w:val="0"/>
        <w:autoSpaceDN w:val="0"/>
        <w:adjustRightInd w:val="0"/>
        <w:textAlignment w:val="baseline"/>
      </w:pPr>
    </w:p>
    <w:sectPr w:rsidR="0022219E" w:rsidRPr="0059156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9CD31" w14:textId="77777777" w:rsidR="007B61E7" w:rsidRDefault="007B61E7">
      <w:r>
        <w:separator/>
      </w:r>
    </w:p>
  </w:endnote>
  <w:endnote w:type="continuationSeparator" w:id="0">
    <w:p w14:paraId="1FC98372" w14:textId="77777777" w:rsidR="007B61E7" w:rsidRDefault="007B61E7">
      <w:r>
        <w:continuationSeparator/>
      </w:r>
    </w:p>
  </w:endnote>
  <w:endnote w:type="continuationNotice" w:id="1">
    <w:p w14:paraId="5AF56499" w14:textId="77777777" w:rsidR="007B61E7" w:rsidRDefault="007B61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E8485" w14:textId="77777777" w:rsidR="007B61E7" w:rsidRDefault="007B61E7">
      <w:r>
        <w:separator/>
      </w:r>
    </w:p>
  </w:footnote>
  <w:footnote w:type="continuationSeparator" w:id="0">
    <w:p w14:paraId="179C5D63" w14:textId="77777777" w:rsidR="007B61E7" w:rsidRDefault="007B61E7">
      <w:r>
        <w:continuationSeparator/>
      </w:r>
    </w:p>
  </w:footnote>
  <w:footnote w:type="continuationNotice" w:id="1">
    <w:p w14:paraId="68A0422F" w14:textId="77777777" w:rsidR="007B61E7" w:rsidRDefault="007B61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5"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4"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3"/>
  </w:num>
  <w:num w:numId="3">
    <w:abstractNumId w:val="12"/>
  </w:num>
  <w:num w:numId="4">
    <w:abstractNumId w:val="9"/>
  </w:num>
  <w:num w:numId="5">
    <w:abstractNumId w:val="10"/>
  </w:num>
  <w:num w:numId="6">
    <w:abstractNumId w:val="30"/>
  </w:num>
  <w:num w:numId="7">
    <w:abstractNumId w:val="20"/>
  </w:num>
  <w:num w:numId="8">
    <w:abstractNumId w:val="13"/>
  </w:num>
  <w:num w:numId="9">
    <w:abstractNumId w:val="29"/>
  </w:num>
  <w:num w:numId="10">
    <w:abstractNumId w:val="19"/>
  </w:num>
  <w:num w:numId="11">
    <w:abstractNumId w:val="11"/>
  </w:num>
  <w:num w:numId="12">
    <w:abstractNumId w:val="25"/>
  </w:num>
  <w:num w:numId="13">
    <w:abstractNumId w:val="26"/>
  </w:num>
  <w:num w:numId="14">
    <w:abstractNumId w:val="24"/>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5"/>
  </w:num>
  <w:num w:numId="25">
    <w:abstractNumId w:val="22"/>
  </w:num>
  <w:num w:numId="26">
    <w:abstractNumId w:val="14"/>
  </w:num>
  <w:num w:numId="27">
    <w:abstractNumId w:val="17"/>
  </w:num>
  <w:num w:numId="28">
    <w:abstractNumId w:val="27"/>
  </w:num>
  <w:num w:numId="29">
    <w:abstractNumId w:val="28"/>
  </w:num>
  <w:num w:numId="30">
    <w:abstractNumId w:val="21"/>
  </w:num>
  <w:num w:numId="31">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32E6B"/>
    <w:rsid w:val="00033397"/>
    <w:rsid w:val="000342C7"/>
    <w:rsid w:val="00040095"/>
    <w:rsid w:val="00042620"/>
    <w:rsid w:val="00045D78"/>
    <w:rsid w:val="0004695C"/>
    <w:rsid w:val="000475F2"/>
    <w:rsid w:val="00051152"/>
    <w:rsid w:val="00051B46"/>
    <w:rsid w:val="0005208F"/>
    <w:rsid w:val="0005212E"/>
    <w:rsid w:val="0005648A"/>
    <w:rsid w:val="00056FCD"/>
    <w:rsid w:val="00061BD0"/>
    <w:rsid w:val="00063F07"/>
    <w:rsid w:val="00064BA2"/>
    <w:rsid w:val="00067E1F"/>
    <w:rsid w:val="000705C2"/>
    <w:rsid w:val="00071F01"/>
    <w:rsid w:val="00072A62"/>
    <w:rsid w:val="00074356"/>
    <w:rsid w:val="00074A6D"/>
    <w:rsid w:val="00074E0B"/>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6AF3"/>
    <w:rsid w:val="000C6D96"/>
    <w:rsid w:val="000C7039"/>
    <w:rsid w:val="000D458F"/>
    <w:rsid w:val="000D4960"/>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308CC"/>
    <w:rsid w:val="001326A8"/>
    <w:rsid w:val="00132931"/>
    <w:rsid w:val="00132C93"/>
    <w:rsid w:val="001335E3"/>
    <w:rsid w:val="0013680F"/>
    <w:rsid w:val="00140A8D"/>
    <w:rsid w:val="00140AF7"/>
    <w:rsid w:val="00141F05"/>
    <w:rsid w:val="001450A6"/>
    <w:rsid w:val="0014626D"/>
    <w:rsid w:val="0014785F"/>
    <w:rsid w:val="001509F1"/>
    <w:rsid w:val="00151A61"/>
    <w:rsid w:val="00155D37"/>
    <w:rsid w:val="0015684E"/>
    <w:rsid w:val="001609C9"/>
    <w:rsid w:val="001624A3"/>
    <w:rsid w:val="001629A8"/>
    <w:rsid w:val="0016401A"/>
    <w:rsid w:val="0016423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68B"/>
    <w:rsid w:val="001F63AE"/>
    <w:rsid w:val="001F6772"/>
    <w:rsid w:val="001F6925"/>
    <w:rsid w:val="002002E9"/>
    <w:rsid w:val="00201FD2"/>
    <w:rsid w:val="0020399F"/>
    <w:rsid w:val="00203B4C"/>
    <w:rsid w:val="002055E0"/>
    <w:rsid w:val="0020566E"/>
    <w:rsid w:val="002057BC"/>
    <w:rsid w:val="00205DCD"/>
    <w:rsid w:val="0021049E"/>
    <w:rsid w:val="00216A77"/>
    <w:rsid w:val="00216F12"/>
    <w:rsid w:val="002175D9"/>
    <w:rsid w:val="0022219E"/>
    <w:rsid w:val="00222918"/>
    <w:rsid w:val="0022526D"/>
    <w:rsid w:val="00225627"/>
    <w:rsid w:val="0022606D"/>
    <w:rsid w:val="0023050E"/>
    <w:rsid w:val="00230C70"/>
    <w:rsid w:val="00230CAD"/>
    <w:rsid w:val="002327FF"/>
    <w:rsid w:val="00232E32"/>
    <w:rsid w:val="00233415"/>
    <w:rsid w:val="00237306"/>
    <w:rsid w:val="002407E5"/>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5A2A"/>
    <w:rsid w:val="002B7066"/>
    <w:rsid w:val="002B707A"/>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E0E"/>
    <w:rsid w:val="003474A6"/>
    <w:rsid w:val="0035110D"/>
    <w:rsid w:val="00351EFF"/>
    <w:rsid w:val="00353EE1"/>
    <w:rsid w:val="0035462D"/>
    <w:rsid w:val="00354716"/>
    <w:rsid w:val="00354A4F"/>
    <w:rsid w:val="003556A5"/>
    <w:rsid w:val="003565BE"/>
    <w:rsid w:val="00356EC2"/>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439"/>
    <w:rsid w:val="0039304A"/>
    <w:rsid w:val="003942E3"/>
    <w:rsid w:val="003953AB"/>
    <w:rsid w:val="00395FDA"/>
    <w:rsid w:val="003976C3"/>
    <w:rsid w:val="003A68D5"/>
    <w:rsid w:val="003B2140"/>
    <w:rsid w:val="003B50E1"/>
    <w:rsid w:val="003B600A"/>
    <w:rsid w:val="003B6B71"/>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400DEB"/>
    <w:rsid w:val="00401855"/>
    <w:rsid w:val="00401880"/>
    <w:rsid w:val="004036C4"/>
    <w:rsid w:val="00403B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4BF9"/>
    <w:rsid w:val="004656FD"/>
    <w:rsid w:val="00465AE0"/>
    <w:rsid w:val="00465C8F"/>
    <w:rsid w:val="00465DD6"/>
    <w:rsid w:val="00467718"/>
    <w:rsid w:val="004745E6"/>
    <w:rsid w:val="00477373"/>
    <w:rsid w:val="00480550"/>
    <w:rsid w:val="00483AFF"/>
    <w:rsid w:val="00484DBF"/>
    <w:rsid w:val="004862A9"/>
    <w:rsid w:val="00486CD7"/>
    <w:rsid w:val="00490813"/>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213A"/>
    <w:rsid w:val="004E2FA7"/>
    <w:rsid w:val="004E3504"/>
    <w:rsid w:val="004E4813"/>
    <w:rsid w:val="004E57BE"/>
    <w:rsid w:val="004E58B1"/>
    <w:rsid w:val="004E7A48"/>
    <w:rsid w:val="004F0A14"/>
    <w:rsid w:val="004F1843"/>
    <w:rsid w:val="004F4CF7"/>
    <w:rsid w:val="004F536A"/>
    <w:rsid w:val="005020E7"/>
    <w:rsid w:val="00502ACC"/>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669D"/>
    <w:rsid w:val="005B01C6"/>
    <w:rsid w:val="005B021A"/>
    <w:rsid w:val="005B0915"/>
    <w:rsid w:val="005B1232"/>
    <w:rsid w:val="005B34D8"/>
    <w:rsid w:val="005B4DEE"/>
    <w:rsid w:val="005B6646"/>
    <w:rsid w:val="005C1021"/>
    <w:rsid w:val="005C16A8"/>
    <w:rsid w:val="005C7B8F"/>
    <w:rsid w:val="005D53D9"/>
    <w:rsid w:val="005E1C7A"/>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5083"/>
    <w:rsid w:val="006859FC"/>
    <w:rsid w:val="006863A7"/>
    <w:rsid w:val="00690975"/>
    <w:rsid w:val="00690FBE"/>
    <w:rsid w:val="0069274F"/>
    <w:rsid w:val="00696D6B"/>
    <w:rsid w:val="00697279"/>
    <w:rsid w:val="006978CD"/>
    <w:rsid w:val="006A04E4"/>
    <w:rsid w:val="006A119F"/>
    <w:rsid w:val="006A1637"/>
    <w:rsid w:val="006A18B1"/>
    <w:rsid w:val="006A364A"/>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4D6B"/>
    <w:rsid w:val="006E71D5"/>
    <w:rsid w:val="006E73C6"/>
    <w:rsid w:val="006E7F54"/>
    <w:rsid w:val="006F13B1"/>
    <w:rsid w:val="006F1FA3"/>
    <w:rsid w:val="006F212F"/>
    <w:rsid w:val="006F2E59"/>
    <w:rsid w:val="006F35FD"/>
    <w:rsid w:val="006F4FC0"/>
    <w:rsid w:val="007004C2"/>
    <w:rsid w:val="00701BAD"/>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28A4"/>
    <w:rsid w:val="00803FFD"/>
    <w:rsid w:val="008069E1"/>
    <w:rsid w:val="00813CDA"/>
    <w:rsid w:val="0081452D"/>
    <w:rsid w:val="008176B8"/>
    <w:rsid w:val="00820849"/>
    <w:rsid w:val="008218C2"/>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545F"/>
    <w:rsid w:val="00935903"/>
    <w:rsid w:val="00937449"/>
    <w:rsid w:val="009420E9"/>
    <w:rsid w:val="00942EC2"/>
    <w:rsid w:val="009439C1"/>
    <w:rsid w:val="009458C7"/>
    <w:rsid w:val="00945F40"/>
    <w:rsid w:val="009461CA"/>
    <w:rsid w:val="009471FD"/>
    <w:rsid w:val="00947224"/>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35D6"/>
    <w:rsid w:val="00974BB0"/>
    <w:rsid w:val="009816B5"/>
    <w:rsid w:val="00984571"/>
    <w:rsid w:val="00985308"/>
    <w:rsid w:val="009876A5"/>
    <w:rsid w:val="0099180C"/>
    <w:rsid w:val="00993BBC"/>
    <w:rsid w:val="0099493E"/>
    <w:rsid w:val="00995169"/>
    <w:rsid w:val="00997D92"/>
    <w:rsid w:val="009A3390"/>
    <w:rsid w:val="009A3AC7"/>
    <w:rsid w:val="009A4FD4"/>
    <w:rsid w:val="009A4FD9"/>
    <w:rsid w:val="009A5190"/>
    <w:rsid w:val="009B28F7"/>
    <w:rsid w:val="009B6C3A"/>
    <w:rsid w:val="009B7671"/>
    <w:rsid w:val="009C01DA"/>
    <w:rsid w:val="009C2009"/>
    <w:rsid w:val="009C4014"/>
    <w:rsid w:val="009C55D0"/>
    <w:rsid w:val="009C55E8"/>
    <w:rsid w:val="009C7DAE"/>
    <w:rsid w:val="009D0FF6"/>
    <w:rsid w:val="009D30B7"/>
    <w:rsid w:val="009D73C0"/>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4914"/>
    <w:rsid w:val="00A14AB6"/>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E8F"/>
    <w:rsid w:val="00AA53C6"/>
    <w:rsid w:val="00AB0EE8"/>
    <w:rsid w:val="00AB14C4"/>
    <w:rsid w:val="00AB30AE"/>
    <w:rsid w:val="00AB3B76"/>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46F3"/>
    <w:rsid w:val="00B4479D"/>
    <w:rsid w:val="00B46DFA"/>
    <w:rsid w:val="00B47B4C"/>
    <w:rsid w:val="00B53026"/>
    <w:rsid w:val="00B573A0"/>
    <w:rsid w:val="00B575B7"/>
    <w:rsid w:val="00B620C6"/>
    <w:rsid w:val="00B62656"/>
    <w:rsid w:val="00B6400F"/>
    <w:rsid w:val="00B64F6E"/>
    <w:rsid w:val="00B67516"/>
    <w:rsid w:val="00B675E5"/>
    <w:rsid w:val="00B67FC5"/>
    <w:rsid w:val="00B704B9"/>
    <w:rsid w:val="00B71C9C"/>
    <w:rsid w:val="00B74F24"/>
    <w:rsid w:val="00B753E5"/>
    <w:rsid w:val="00B768B9"/>
    <w:rsid w:val="00B77D03"/>
    <w:rsid w:val="00B80819"/>
    <w:rsid w:val="00B836B3"/>
    <w:rsid w:val="00B92E27"/>
    <w:rsid w:val="00B931D0"/>
    <w:rsid w:val="00B94EC5"/>
    <w:rsid w:val="00B95C0E"/>
    <w:rsid w:val="00BA0F1F"/>
    <w:rsid w:val="00BA2519"/>
    <w:rsid w:val="00BA4DBE"/>
    <w:rsid w:val="00BA79DD"/>
    <w:rsid w:val="00BB05BD"/>
    <w:rsid w:val="00BC434A"/>
    <w:rsid w:val="00BC6DEB"/>
    <w:rsid w:val="00BD1EA5"/>
    <w:rsid w:val="00BD24BE"/>
    <w:rsid w:val="00BD2981"/>
    <w:rsid w:val="00BD4231"/>
    <w:rsid w:val="00BD4919"/>
    <w:rsid w:val="00BD5F08"/>
    <w:rsid w:val="00BE0EDA"/>
    <w:rsid w:val="00BE2185"/>
    <w:rsid w:val="00BE3ECA"/>
    <w:rsid w:val="00BE5235"/>
    <w:rsid w:val="00BE543D"/>
    <w:rsid w:val="00BF21B4"/>
    <w:rsid w:val="00BF3C1E"/>
    <w:rsid w:val="00BF4007"/>
    <w:rsid w:val="00BF41EC"/>
    <w:rsid w:val="00BF5EEB"/>
    <w:rsid w:val="00BF626E"/>
    <w:rsid w:val="00BF77B2"/>
    <w:rsid w:val="00BF79F1"/>
    <w:rsid w:val="00C01A56"/>
    <w:rsid w:val="00C01E2A"/>
    <w:rsid w:val="00C025B4"/>
    <w:rsid w:val="00C10D1A"/>
    <w:rsid w:val="00C10EDD"/>
    <w:rsid w:val="00C149EE"/>
    <w:rsid w:val="00C16011"/>
    <w:rsid w:val="00C1677D"/>
    <w:rsid w:val="00C17BCE"/>
    <w:rsid w:val="00C22564"/>
    <w:rsid w:val="00C25F8E"/>
    <w:rsid w:val="00C2769B"/>
    <w:rsid w:val="00C30186"/>
    <w:rsid w:val="00C3238A"/>
    <w:rsid w:val="00C32F24"/>
    <w:rsid w:val="00C33079"/>
    <w:rsid w:val="00C3492F"/>
    <w:rsid w:val="00C34CF6"/>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4C7B"/>
    <w:rsid w:val="00CD6C7B"/>
    <w:rsid w:val="00CE07A8"/>
    <w:rsid w:val="00CE1F72"/>
    <w:rsid w:val="00CE2062"/>
    <w:rsid w:val="00CE270D"/>
    <w:rsid w:val="00CE3251"/>
    <w:rsid w:val="00CE3415"/>
    <w:rsid w:val="00CF0E38"/>
    <w:rsid w:val="00CF23EC"/>
    <w:rsid w:val="00CF23EE"/>
    <w:rsid w:val="00CF4536"/>
    <w:rsid w:val="00CF47EC"/>
    <w:rsid w:val="00CF6B19"/>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34F0"/>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7960"/>
    <w:rsid w:val="00E20568"/>
    <w:rsid w:val="00E2144D"/>
    <w:rsid w:val="00E22A8A"/>
    <w:rsid w:val="00E243B8"/>
    <w:rsid w:val="00E27680"/>
    <w:rsid w:val="00E30274"/>
    <w:rsid w:val="00E32ACD"/>
    <w:rsid w:val="00E3347C"/>
    <w:rsid w:val="00E33514"/>
    <w:rsid w:val="00E338CF"/>
    <w:rsid w:val="00E33B0E"/>
    <w:rsid w:val="00E46555"/>
    <w:rsid w:val="00E47BC4"/>
    <w:rsid w:val="00E5071A"/>
    <w:rsid w:val="00E52EBD"/>
    <w:rsid w:val="00E55C02"/>
    <w:rsid w:val="00E568A6"/>
    <w:rsid w:val="00E569A4"/>
    <w:rsid w:val="00E57A08"/>
    <w:rsid w:val="00E62835"/>
    <w:rsid w:val="00E648F0"/>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115B"/>
    <w:rsid w:val="00EF4175"/>
    <w:rsid w:val="00EF4630"/>
    <w:rsid w:val="00EF5AC3"/>
    <w:rsid w:val="00EF628F"/>
    <w:rsid w:val="00EF7667"/>
    <w:rsid w:val="00F00780"/>
    <w:rsid w:val="00F025A2"/>
    <w:rsid w:val="00F03003"/>
    <w:rsid w:val="00F03C5A"/>
    <w:rsid w:val="00F0430E"/>
    <w:rsid w:val="00F076C8"/>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559"/>
    <w:rsid w:val="00F76C5A"/>
    <w:rsid w:val="00F76F8F"/>
    <w:rsid w:val="00F82564"/>
    <w:rsid w:val="00F826B3"/>
    <w:rsid w:val="00F8275A"/>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F1FB9"/>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5F11E0"/>
    <w:pPr>
      <w:spacing w:after="0"/>
      <w:ind w:left="720"/>
      <w:contextualSpacing/>
    </w:pPr>
    <w:rPr>
      <w:rFonts w:eastAsia="Times New Roman"/>
      <w:sz w:val="24"/>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pPr>
      <w:spacing w:after="18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3.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0A3DDEA-8FE4-4509-8514-538543960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57</TotalTime>
  <Pages>4</Pages>
  <Words>1718</Words>
  <Characters>10310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Conditional Handover: handling of changing conditions</vt:lpstr>
    </vt:vector>
  </TitlesOfParts>
  <Company>Nokia, Nokia Shanghai Bell</Company>
  <LinksUpToDate>false</LinksUpToDate>
  <CharactersWithSpaces>12004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Handling of changing conditions during CHO</dc:title>
  <dc:subject>3GPP RAN3 #105</dc:subject>
  <dc:creator>Benoist Sébire</dc:creator>
  <cp:keywords>&lt;keyword[, keyword, ]&gt;</cp:keywords>
  <dc:description/>
  <cp:lastModifiedBy>Nokia</cp:lastModifiedBy>
  <cp:revision>15</cp:revision>
  <cp:lastPrinted>2019-03-27T07:16:00Z</cp:lastPrinted>
  <dcterms:created xsi:type="dcterms:W3CDTF">2019-07-17T11:06:00Z</dcterms:created>
  <dcterms:modified xsi:type="dcterms:W3CDTF">2019-08-16T14:20:00Z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